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73" w:rsidRDefault="00FB0473" w:rsidP="00FB0473">
      <w:pPr>
        <w:jc w:val="center"/>
      </w:pPr>
    </w:p>
    <w:p w:rsidR="00D416AA" w:rsidRDefault="00D416AA" w:rsidP="00FB0473">
      <w:pPr>
        <w:jc w:val="center"/>
      </w:pPr>
    </w:p>
    <w:p w:rsidR="00FB0473" w:rsidRDefault="00FB0473" w:rsidP="00FB0473">
      <w:pPr>
        <w:rPr>
          <w:b/>
          <w:sz w:val="32"/>
          <w:szCs w:val="32"/>
        </w:rPr>
      </w:pPr>
    </w:p>
    <w:p w:rsidR="00B80AF2" w:rsidRDefault="00D51144" w:rsidP="00B80AF2">
      <w:pPr>
        <w:jc w:val="center"/>
        <w:rPr>
          <w:b/>
          <w:sz w:val="32"/>
          <w:szCs w:val="32"/>
        </w:rPr>
      </w:pPr>
      <w:r>
        <w:rPr>
          <w:b/>
          <w:sz w:val="32"/>
          <w:szCs w:val="32"/>
        </w:rPr>
        <w:t xml:space="preserve">TV Tie </w:t>
      </w:r>
      <w:proofErr w:type="gramStart"/>
      <w:r>
        <w:rPr>
          <w:b/>
          <w:sz w:val="32"/>
          <w:szCs w:val="32"/>
        </w:rPr>
        <w:t>Ins</w:t>
      </w:r>
      <w:proofErr w:type="gramEnd"/>
      <w:r>
        <w:rPr>
          <w:b/>
          <w:sz w:val="32"/>
          <w:szCs w:val="32"/>
        </w:rPr>
        <w:t xml:space="preserve"> Teaching Kit</w:t>
      </w:r>
    </w:p>
    <w:p w:rsidR="00FB0473" w:rsidRPr="002C407B" w:rsidRDefault="00FB0473" w:rsidP="00FB0473">
      <w:pPr>
        <w:rPr>
          <w:rFonts w:cs="Arial"/>
        </w:rPr>
      </w:pPr>
    </w:p>
    <w:tbl>
      <w:tblPr>
        <w:tblW w:w="0" w:type="auto"/>
        <w:tblLook w:val="04A0" w:firstRow="1" w:lastRow="0" w:firstColumn="1" w:lastColumn="0" w:noHBand="0" w:noVBand="1"/>
      </w:tblPr>
      <w:tblGrid>
        <w:gridCol w:w="3085"/>
        <w:gridCol w:w="6158"/>
      </w:tblGrid>
      <w:tr w:rsidR="009B6113" w:rsidRPr="002952B9" w:rsidTr="00623897">
        <w:trPr>
          <w:trHeight w:val="40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Year Level:</w:t>
            </w:r>
          </w:p>
        </w:tc>
        <w:tc>
          <w:tcPr>
            <w:tcW w:w="6158" w:type="dxa"/>
            <w:shd w:val="clear" w:color="auto" w:fill="auto"/>
          </w:tcPr>
          <w:p w:rsidR="00FB0473" w:rsidRPr="002952B9" w:rsidRDefault="00D51144" w:rsidP="00CD199D">
            <w:pPr>
              <w:rPr>
                <w:rFonts w:cs="Arial"/>
              </w:rPr>
            </w:pPr>
            <w:r>
              <w:rPr>
                <w:rFonts w:cs="Arial"/>
                <w:color w:val="000000"/>
              </w:rPr>
              <w:t>Year 3 to Year 10</w:t>
            </w:r>
          </w:p>
        </w:tc>
      </w:tr>
      <w:tr w:rsidR="009B6113" w:rsidRPr="002952B9" w:rsidTr="00623897">
        <w:trPr>
          <w:trHeight w:val="410"/>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Curriculum Study Areas:</w:t>
            </w:r>
          </w:p>
        </w:tc>
        <w:tc>
          <w:tcPr>
            <w:tcW w:w="6158" w:type="dxa"/>
            <w:shd w:val="clear" w:color="auto" w:fill="auto"/>
          </w:tcPr>
          <w:p w:rsidR="00FB0473" w:rsidRPr="002952B9" w:rsidRDefault="00A347B3" w:rsidP="00D84CAC">
            <w:pPr>
              <w:rPr>
                <w:rFonts w:cs="Arial"/>
              </w:rPr>
            </w:pPr>
            <w:r>
              <w:rPr>
                <w:rFonts w:cs="Arial"/>
              </w:rPr>
              <w:t>English; The Arts</w:t>
            </w:r>
          </w:p>
        </w:tc>
      </w:tr>
      <w:tr w:rsidR="009B6113" w:rsidRPr="002952B9" w:rsidTr="00623897">
        <w:trPr>
          <w:trHeight w:val="445"/>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Themes/Topics:</w:t>
            </w:r>
          </w:p>
        </w:tc>
        <w:tc>
          <w:tcPr>
            <w:tcW w:w="6158" w:type="dxa"/>
            <w:shd w:val="clear" w:color="auto" w:fill="auto"/>
          </w:tcPr>
          <w:p w:rsidR="00FB0473" w:rsidRDefault="00A347B3" w:rsidP="00623897">
            <w:pPr>
              <w:rPr>
                <w:rFonts w:cs="Arial"/>
                <w:color w:val="000000"/>
              </w:rPr>
            </w:pPr>
            <w:r>
              <w:rPr>
                <w:rFonts w:cs="Arial"/>
                <w:color w:val="000000"/>
              </w:rPr>
              <w:t>Film Language</w:t>
            </w:r>
            <w:r w:rsidR="00D51144">
              <w:rPr>
                <w:rFonts w:cs="Arial"/>
                <w:color w:val="000000"/>
              </w:rPr>
              <w:t>; Narrative Structure; Genre; Symbolism and Icons</w:t>
            </w:r>
          </w:p>
          <w:p w:rsidR="00A347B3" w:rsidRPr="002952B9" w:rsidRDefault="00A347B3" w:rsidP="00623897">
            <w:pPr>
              <w:rPr>
                <w:rFonts w:cs="Arial"/>
              </w:rPr>
            </w:pPr>
          </w:p>
        </w:tc>
      </w:tr>
      <w:tr w:rsidR="009B6113" w:rsidRPr="002952B9" w:rsidTr="00623897">
        <w:trPr>
          <w:trHeight w:val="700"/>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Description:</w:t>
            </w:r>
          </w:p>
        </w:tc>
        <w:tc>
          <w:tcPr>
            <w:tcW w:w="6158" w:type="dxa"/>
            <w:shd w:val="clear" w:color="auto" w:fill="auto"/>
          </w:tcPr>
          <w:p w:rsidR="00A347B3" w:rsidRDefault="00D51144" w:rsidP="00623897">
            <w:pPr>
              <w:rPr>
                <w:rFonts w:ascii="Times New Roman" w:hAnsi="Times New Roman"/>
                <w:sz w:val="24"/>
              </w:rPr>
            </w:pPr>
            <w:r w:rsidRPr="006A5818">
              <w:rPr>
                <w:rFonts w:ascii="Times New Roman" w:hAnsi="Times New Roman"/>
                <w:sz w:val="24"/>
              </w:rPr>
              <w:t>This teaching kit defines TV Tie-Ins and how they can be used with reluctant readers to improve understanding of the story. It explores briefly the translation of film to text and provides some examples of visual literacy.</w:t>
            </w:r>
          </w:p>
          <w:p w:rsidR="00D51144" w:rsidRPr="002952B9" w:rsidRDefault="00D51144" w:rsidP="00623897">
            <w:pPr>
              <w:rPr>
                <w:rFonts w:cs="Arial"/>
              </w:rPr>
            </w:pPr>
          </w:p>
        </w:tc>
      </w:tr>
      <w:tr w:rsidR="009B6113" w:rsidRPr="002952B9" w:rsidTr="00623897">
        <w:trPr>
          <w:trHeight w:val="443"/>
        </w:trPr>
        <w:tc>
          <w:tcPr>
            <w:tcW w:w="3085" w:type="dxa"/>
            <w:shd w:val="clear" w:color="auto" w:fill="auto"/>
          </w:tcPr>
          <w:p w:rsidR="00FB0473" w:rsidRPr="002952B9" w:rsidRDefault="00FB0473" w:rsidP="00623897">
            <w:pPr>
              <w:rPr>
                <w:rFonts w:cs="Arial"/>
                <w:b/>
                <w:color w:val="808080" w:themeColor="background1" w:themeShade="80"/>
              </w:rPr>
            </w:pPr>
            <w:r w:rsidRPr="002952B9">
              <w:rPr>
                <w:rFonts w:cs="Arial"/>
                <w:b/>
                <w:color w:val="808080" w:themeColor="background1" w:themeShade="80"/>
              </w:rPr>
              <w:t>Resources:</w:t>
            </w:r>
          </w:p>
        </w:tc>
        <w:tc>
          <w:tcPr>
            <w:tcW w:w="6158" w:type="dxa"/>
            <w:shd w:val="clear" w:color="auto" w:fill="auto"/>
          </w:tcPr>
          <w:p w:rsidR="00D51144" w:rsidRPr="00D51144" w:rsidRDefault="00D51144" w:rsidP="00D51144">
            <w:pPr>
              <w:spacing w:before="100" w:beforeAutospacing="1" w:after="100" w:afterAutospacing="1"/>
              <w:rPr>
                <w:rFonts w:cs="Arial"/>
                <w:i/>
              </w:rPr>
            </w:pPr>
            <w:r>
              <w:rPr>
                <w:rFonts w:cs="Arial"/>
                <w:i/>
              </w:rPr>
              <w:t xml:space="preserve">The Genie From </w:t>
            </w:r>
            <w:proofErr w:type="spellStart"/>
            <w:r>
              <w:rPr>
                <w:rFonts w:cs="Arial"/>
                <w:i/>
              </w:rPr>
              <w:t>Downunder</w:t>
            </w:r>
            <w:proofErr w:type="spellEnd"/>
            <w:r>
              <w:rPr>
                <w:rFonts w:cs="Arial"/>
                <w:i/>
              </w:rPr>
              <w:br/>
              <w:t>Winners and More Winners</w:t>
            </w:r>
            <w:r>
              <w:rPr>
                <w:rFonts w:cs="Arial"/>
                <w:i/>
              </w:rPr>
              <w:br/>
              <w:t>Touch the Sun</w:t>
            </w:r>
            <w:r>
              <w:rPr>
                <w:rFonts w:cs="Arial"/>
                <w:i/>
              </w:rPr>
              <w:br/>
              <w:t>Round the Twist</w:t>
            </w:r>
            <w:r>
              <w:rPr>
                <w:rFonts w:cs="Arial"/>
                <w:i/>
              </w:rPr>
              <w:br/>
              <w:t>My Brother Jack</w:t>
            </w:r>
          </w:p>
        </w:tc>
      </w:tr>
    </w:tbl>
    <w:p w:rsidR="00D51144" w:rsidRDefault="00FB0473" w:rsidP="00D51144">
      <w:pPr>
        <w:spacing w:before="100" w:beforeAutospacing="1" w:after="100" w:afterAutospacing="1"/>
        <w:rPr>
          <w:rFonts w:cs="Arial"/>
          <w:b/>
        </w:rPr>
      </w:pPr>
      <w:r w:rsidRPr="002952B9">
        <w:rPr>
          <w:rFonts w:cs="Arial"/>
          <w:b/>
          <w:bCs/>
          <w:noProof/>
          <w:lang w:val="en-AU" w:eastAsia="en-AU"/>
        </w:rPr>
        <mc:AlternateContent>
          <mc:Choice Requires="wps">
            <w:drawing>
              <wp:anchor distT="0" distB="0" distL="114300" distR="114300" simplePos="0" relativeHeight="251659264" behindDoc="0" locked="0" layoutInCell="1" allowOverlap="1" wp14:anchorId="1DA2BA6B" wp14:editId="06D66CC6">
                <wp:simplePos x="0" y="0"/>
                <wp:positionH relativeFrom="column">
                  <wp:posOffset>10795</wp:posOffset>
                </wp:positionH>
                <wp:positionV relativeFrom="paragraph">
                  <wp:posOffset>53975</wp:posOffset>
                </wp:positionV>
                <wp:extent cx="5847715" cy="0"/>
                <wp:effectExtent l="10795" t="10160" r="889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pt;margin-top:4.25pt;width:46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"/>
            </w:pict>
          </mc:Fallback>
        </mc:AlternateContent>
      </w:r>
      <w:r w:rsidRPr="002952B9">
        <w:rPr>
          <w:rFonts w:cs="Arial"/>
          <w:b/>
          <w:bCs/>
        </w:rPr>
        <w:t>Lesson plan:</w:t>
      </w:r>
    </w:p>
    <w:p w:rsidR="00D51144" w:rsidRPr="00D51144" w:rsidRDefault="00D51144" w:rsidP="00D51144">
      <w:pPr>
        <w:spacing w:before="100" w:beforeAutospacing="1" w:after="100" w:afterAutospacing="1"/>
        <w:rPr>
          <w:rFonts w:cs="Arial"/>
          <w:b/>
        </w:rPr>
      </w:pPr>
      <w:r w:rsidRPr="00D51144">
        <w:rPr>
          <w:rFonts w:cs="Arial"/>
          <w:b/>
        </w:rPr>
        <w:t>What are TV Tie-Ins?</w:t>
      </w:r>
    </w:p>
    <w:p w:rsidR="00D51144" w:rsidRPr="00D51144" w:rsidRDefault="00D51144" w:rsidP="00D51144">
      <w:pPr>
        <w:spacing w:before="100" w:beforeAutospacing="1" w:after="100" w:afterAutospacing="1"/>
        <w:rPr>
          <w:rFonts w:cs="Arial"/>
        </w:rPr>
      </w:pPr>
      <w:r w:rsidRPr="00D51144">
        <w:rPr>
          <w:rFonts w:cs="Arial"/>
        </w:rPr>
        <w:t>While many films and some TV programs are made from existing books, many books are also written as tie-ins after the film or television series script has been written and produced. These books are called TV Tie-Ins, as they ‘tie-in’ with the existing story line, characters and setting of the show.</w:t>
      </w:r>
    </w:p>
    <w:p w:rsidR="00D51144" w:rsidRPr="00D51144" w:rsidRDefault="00D51144" w:rsidP="00D51144">
      <w:pPr>
        <w:spacing w:before="100" w:beforeAutospacing="1" w:after="100" w:afterAutospacing="1"/>
        <w:rPr>
          <w:rFonts w:cs="Arial"/>
        </w:rPr>
      </w:pPr>
      <w:r w:rsidRPr="00D51144">
        <w:rPr>
          <w:rFonts w:cs="Arial"/>
        </w:rPr>
        <w:t xml:space="preserve">TV Tie-Ins have been used since the early 1960s. Children and adult readers are often attracted to these books, particularly if they enjoyed the original movie or television program and could relate to the characters. </w:t>
      </w:r>
    </w:p>
    <w:p w:rsidR="00D51144" w:rsidRPr="00D51144" w:rsidRDefault="00D51144" w:rsidP="00D51144">
      <w:pPr>
        <w:spacing w:before="100" w:beforeAutospacing="1" w:after="100" w:afterAutospacing="1"/>
        <w:rPr>
          <w:rFonts w:cs="Arial"/>
          <w:b/>
        </w:rPr>
      </w:pPr>
      <w:r w:rsidRPr="00D51144">
        <w:rPr>
          <w:rFonts w:cs="Arial"/>
          <w:b/>
        </w:rPr>
        <w:t>Reluctant Readers</w:t>
      </w:r>
    </w:p>
    <w:p w:rsidR="00D51144" w:rsidRPr="00D51144" w:rsidRDefault="00D51144" w:rsidP="00D51144">
      <w:pPr>
        <w:spacing w:before="100" w:beforeAutospacing="1" w:after="100" w:afterAutospacing="1"/>
        <w:rPr>
          <w:rFonts w:cs="Arial"/>
        </w:rPr>
      </w:pPr>
      <w:r w:rsidRPr="00D51144">
        <w:rPr>
          <w:rFonts w:cs="Arial"/>
        </w:rPr>
        <w:t xml:space="preserve">From a teacher’s perspective, film can aid literacy and enhance a student’s understanding and enjoyment of the written text. Watching the movie or television program, and completing relevant activities, allows students to develop their visual literacy skills. With use of the TV Tie-Ins students are able to </w:t>
      </w:r>
      <w:proofErr w:type="spellStart"/>
      <w:r w:rsidRPr="00D51144">
        <w:rPr>
          <w:rFonts w:cs="Arial"/>
        </w:rPr>
        <w:t>visualise</w:t>
      </w:r>
      <w:proofErr w:type="spellEnd"/>
      <w:r w:rsidRPr="00D51144">
        <w:rPr>
          <w:rFonts w:cs="Arial"/>
        </w:rPr>
        <w:t xml:space="preserve"> the characters from the screen. This may assist in their understanding of the written text and encourage reluctant readers, as they are able to find out more about the characters or re-live a </w:t>
      </w:r>
      <w:proofErr w:type="spellStart"/>
      <w:r w:rsidRPr="00D51144">
        <w:rPr>
          <w:rFonts w:cs="Arial"/>
        </w:rPr>
        <w:t>favourite</w:t>
      </w:r>
      <w:proofErr w:type="spellEnd"/>
      <w:r w:rsidRPr="00D51144">
        <w:rPr>
          <w:rFonts w:cs="Arial"/>
        </w:rPr>
        <w:t xml:space="preserve"> television series through the associated books. </w:t>
      </w:r>
    </w:p>
    <w:p w:rsidR="00D51144" w:rsidRPr="00D51144" w:rsidRDefault="00D51144" w:rsidP="00D51144">
      <w:pPr>
        <w:spacing w:before="100" w:beforeAutospacing="1" w:after="100" w:afterAutospacing="1"/>
        <w:rPr>
          <w:rFonts w:cs="Arial"/>
        </w:rPr>
      </w:pPr>
      <w:r w:rsidRPr="00D51144">
        <w:rPr>
          <w:rFonts w:cs="Arial"/>
        </w:rPr>
        <w:t xml:space="preserve">Because tie-in books are usually much closer to the original dramatic text than perhaps an adaptation of a book into a film or TV program, they are also an invaluable literacy resource for less skilled readers. </w:t>
      </w:r>
    </w:p>
    <w:p w:rsidR="00D51144" w:rsidRDefault="00D51144" w:rsidP="00D51144">
      <w:pPr>
        <w:spacing w:before="100" w:beforeAutospacing="1" w:after="100" w:afterAutospacing="1"/>
        <w:rPr>
          <w:rFonts w:cs="Arial"/>
        </w:rPr>
      </w:pPr>
      <w:r w:rsidRPr="00D51144">
        <w:rPr>
          <w:rFonts w:cs="Arial"/>
        </w:rPr>
        <w:t xml:space="preserve">As many teachers know, 'beginner' and 'at risk' readers process print text more comfortably when they have a prior knowledge of the story structure and of the concepts they will meet in the text. </w:t>
      </w:r>
    </w:p>
    <w:p w:rsidR="00D51144" w:rsidRDefault="00D51144" w:rsidP="00D51144">
      <w:pPr>
        <w:spacing w:before="100" w:beforeAutospacing="1" w:after="100" w:afterAutospacing="1"/>
        <w:rPr>
          <w:rFonts w:cs="Arial"/>
        </w:rPr>
      </w:pPr>
    </w:p>
    <w:p w:rsidR="00D51144" w:rsidRPr="00D51144" w:rsidRDefault="00D51144" w:rsidP="00D51144">
      <w:pPr>
        <w:spacing w:before="100" w:beforeAutospacing="1" w:after="100" w:afterAutospacing="1"/>
        <w:rPr>
          <w:rFonts w:cs="Arial"/>
        </w:rPr>
      </w:pPr>
    </w:p>
    <w:p w:rsidR="00D51144" w:rsidRPr="00D51144" w:rsidRDefault="00D51144" w:rsidP="00D51144">
      <w:pPr>
        <w:spacing w:after="200" w:line="276" w:lineRule="auto"/>
        <w:rPr>
          <w:rFonts w:cs="Arial"/>
          <w:b/>
        </w:rPr>
      </w:pPr>
      <w:r w:rsidRPr="00D51144">
        <w:rPr>
          <w:rFonts w:cs="Arial"/>
          <w:b/>
        </w:rPr>
        <w:t xml:space="preserve">Improving Understanding of the Story </w:t>
      </w:r>
    </w:p>
    <w:p w:rsidR="00D51144" w:rsidRPr="00D51144" w:rsidRDefault="00D51144" w:rsidP="00D51144">
      <w:pPr>
        <w:spacing w:before="100" w:beforeAutospacing="1" w:after="100" w:afterAutospacing="1"/>
        <w:rPr>
          <w:rFonts w:cs="Arial"/>
        </w:rPr>
      </w:pPr>
      <w:r w:rsidRPr="00D51144">
        <w:rPr>
          <w:rFonts w:cs="Arial"/>
        </w:rPr>
        <w:t xml:space="preserve">A visual text with a tie-in book offers students the opportunity to understand and appreciate the plot, characters, theme and cultural perspectives of a story through the original television version before moving on to the now familiar story structure in the book version. </w:t>
      </w:r>
    </w:p>
    <w:p w:rsidR="00D51144" w:rsidRPr="00D51144" w:rsidRDefault="00D51144" w:rsidP="00D51144">
      <w:pPr>
        <w:spacing w:before="100" w:beforeAutospacing="1" w:after="100" w:afterAutospacing="1"/>
        <w:rPr>
          <w:rFonts w:cs="Arial"/>
        </w:rPr>
      </w:pPr>
      <w:r w:rsidRPr="00D51144">
        <w:rPr>
          <w:rFonts w:cs="Arial"/>
        </w:rPr>
        <w:t xml:space="preserve">As well as encouraging students to read, TV tie-in books also offer classroom opportunities for students to explore texts through comparing and </w:t>
      </w:r>
      <w:proofErr w:type="spellStart"/>
      <w:r w:rsidRPr="00D51144">
        <w:rPr>
          <w:rFonts w:cs="Arial"/>
        </w:rPr>
        <w:t>analysing</w:t>
      </w:r>
      <w:proofErr w:type="spellEnd"/>
      <w:r w:rsidRPr="00D51144">
        <w:rPr>
          <w:rFonts w:cs="Arial"/>
        </w:rPr>
        <w:t xml:space="preserve"> the original television version and its interpretation by an author. </w:t>
      </w:r>
    </w:p>
    <w:p w:rsidR="00D51144" w:rsidRPr="00D51144" w:rsidRDefault="00D51144" w:rsidP="00D51144">
      <w:pPr>
        <w:spacing w:before="100" w:beforeAutospacing="1" w:after="100" w:afterAutospacing="1"/>
        <w:rPr>
          <w:rFonts w:cs="Arial"/>
          <w:b/>
        </w:rPr>
      </w:pPr>
      <w:r w:rsidRPr="00D51144">
        <w:rPr>
          <w:rFonts w:cs="Arial"/>
          <w:b/>
        </w:rPr>
        <w:t xml:space="preserve">Exploring the Translation from Film to Text </w:t>
      </w:r>
    </w:p>
    <w:p w:rsidR="00BF6B10" w:rsidRPr="00D51144" w:rsidRDefault="00D51144" w:rsidP="00BF6B10">
      <w:pPr>
        <w:spacing w:before="100" w:beforeAutospacing="1" w:after="100" w:afterAutospacing="1"/>
        <w:rPr>
          <w:rFonts w:cs="Arial"/>
        </w:rPr>
      </w:pPr>
      <w:r w:rsidRPr="00D51144">
        <w:rPr>
          <w:rFonts w:cs="Arial"/>
        </w:rPr>
        <w:t>A key aspect to explore is how the author translates visual and audio features which communicate essential story information from a television scene into print. How is information about the characters, setting and dialogue conveyed in pri</w:t>
      </w:r>
      <w:r>
        <w:rPr>
          <w:rFonts w:cs="Arial"/>
        </w:rPr>
        <w:t xml:space="preserve">nt form? </w:t>
      </w:r>
      <w:bookmarkStart w:id="0" w:name="_GoBack"/>
      <w:bookmarkEnd w:id="0"/>
    </w:p>
    <w:sectPr w:rsidR="00BF6B10" w:rsidRPr="00D51144" w:rsidSect="00623897">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85" w:rsidRDefault="00EC4685">
      <w:r>
        <w:separator/>
      </w:r>
    </w:p>
  </w:endnote>
  <w:endnote w:type="continuationSeparator" w:id="0">
    <w:p w:rsidR="00EC4685" w:rsidRDefault="00EC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4D" w:rsidRDefault="00895C4D" w:rsidP="00623897">
    <w:pPr>
      <w:pStyle w:val="Footer"/>
      <w:rPr>
        <w:rFonts w:cs="Arial"/>
        <w:sz w:val="16"/>
        <w:szCs w:val="16"/>
      </w:rPr>
    </w:pPr>
    <w:r w:rsidRPr="00495B8B">
      <w:rPr>
        <w:rFonts w:cs="Arial"/>
        <w:sz w:val="16"/>
        <w:szCs w:val="16"/>
      </w:rPr>
      <w:t>© Australian Chi</w:t>
    </w:r>
    <w:r>
      <w:rPr>
        <w:rFonts w:cs="Arial"/>
        <w:sz w:val="16"/>
        <w:szCs w:val="16"/>
      </w:rPr>
      <w:t xml:space="preserve">ldren's Television Foundation </w:t>
    </w:r>
    <w:r w:rsidRPr="00495B8B">
      <w:rPr>
        <w:rFonts w:cs="Arial"/>
        <w:sz w:val="16"/>
        <w:szCs w:val="16"/>
      </w:rPr>
      <w:t xml:space="preserve">(except where otherwise indicated). You may use, download and reproduce this material free of charge for non-commercial educational purposes provided you retain all acknowledgements associated with the material. </w:t>
    </w:r>
  </w:p>
  <w:p w:rsidR="00895C4D" w:rsidRDefault="00895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85" w:rsidRDefault="00EC4685">
      <w:r>
        <w:separator/>
      </w:r>
    </w:p>
  </w:footnote>
  <w:footnote w:type="continuationSeparator" w:id="0">
    <w:p w:rsidR="00EC4685" w:rsidRDefault="00EC4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4D" w:rsidRDefault="00895C4D">
    <w:pPr>
      <w:pStyle w:val="Header"/>
    </w:pPr>
    <w:r>
      <w:rPr>
        <w:noProof/>
        <w:lang w:val="en-AU" w:eastAsia="en-AU"/>
      </w:rPr>
      <w:drawing>
        <wp:anchor distT="0" distB="0" distL="114300" distR="114300" simplePos="0" relativeHeight="251659264" behindDoc="1" locked="0" layoutInCell="1" allowOverlap="1" wp14:anchorId="20FC971A" wp14:editId="153D9066">
          <wp:simplePos x="0" y="0"/>
          <wp:positionH relativeFrom="column">
            <wp:posOffset>-850900</wp:posOffset>
          </wp:positionH>
          <wp:positionV relativeFrom="paragraph">
            <wp:posOffset>-361315</wp:posOffset>
          </wp:positionV>
          <wp:extent cx="7397750" cy="1421130"/>
          <wp:effectExtent l="0" t="0" r="0" b="7620"/>
          <wp:wrapNone/>
          <wp:docPr id="2" name="Picture 2" descr="LC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1C"/>
    <w:multiLevelType w:val="multilevel"/>
    <w:tmpl w:val="55F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5719"/>
    <w:multiLevelType w:val="multilevel"/>
    <w:tmpl w:val="632A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B3E44"/>
    <w:multiLevelType w:val="multilevel"/>
    <w:tmpl w:val="F6D6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77085"/>
    <w:multiLevelType w:val="multilevel"/>
    <w:tmpl w:val="01A2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B2AB3"/>
    <w:multiLevelType w:val="multilevel"/>
    <w:tmpl w:val="8F7A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758D1"/>
    <w:multiLevelType w:val="multilevel"/>
    <w:tmpl w:val="2D2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E2EA0"/>
    <w:multiLevelType w:val="multilevel"/>
    <w:tmpl w:val="B592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1D26"/>
    <w:multiLevelType w:val="multilevel"/>
    <w:tmpl w:val="E54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54636"/>
    <w:multiLevelType w:val="multilevel"/>
    <w:tmpl w:val="B58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752F6"/>
    <w:multiLevelType w:val="multilevel"/>
    <w:tmpl w:val="CC2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62F4A"/>
    <w:multiLevelType w:val="multilevel"/>
    <w:tmpl w:val="BDF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61747"/>
    <w:multiLevelType w:val="multilevel"/>
    <w:tmpl w:val="82F4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30614"/>
    <w:multiLevelType w:val="multilevel"/>
    <w:tmpl w:val="BB6E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D79C3"/>
    <w:multiLevelType w:val="multilevel"/>
    <w:tmpl w:val="E9DE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D1E12"/>
    <w:multiLevelType w:val="multilevel"/>
    <w:tmpl w:val="90F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53BC5"/>
    <w:multiLevelType w:val="multilevel"/>
    <w:tmpl w:val="5338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36823"/>
    <w:multiLevelType w:val="multilevel"/>
    <w:tmpl w:val="C53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E463B"/>
    <w:multiLevelType w:val="multilevel"/>
    <w:tmpl w:val="2992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815C92"/>
    <w:multiLevelType w:val="multilevel"/>
    <w:tmpl w:val="3CB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F2D81"/>
    <w:multiLevelType w:val="multilevel"/>
    <w:tmpl w:val="F56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91860"/>
    <w:multiLevelType w:val="multilevel"/>
    <w:tmpl w:val="8FA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B137F8"/>
    <w:multiLevelType w:val="multilevel"/>
    <w:tmpl w:val="DEA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135DA"/>
    <w:multiLevelType w:val="multilevel"/>
    <w:tmpl w:val="676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6B3B2B"/>
    <w:multiLevelType w:val="multilevel"/>
    <w:tmpl w:val="48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A4009"/>
    <w:multiLevelType w:val="multilevel"/>
    <w:tmpl w:val="ABA4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C1EEA"/>
    <w:multiLevelType w:val="multilevel"/>
    <w:tmpl w:val="46D2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F96183"/>
    <w:multiLevelType w:val="multilevel"/>
    <w:tmpl w:val="61C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52205F"/>
    <w:multiLevelType w:val="multilevel"/>
    <w:tmpl w:val="11F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A458F"/>
    <w:multiLevelType w:val="multilevel"/>
    <w:tmpl w:val="909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1"/>
  </w:num>
  <w:num w:numId="4">
    <w:abstractNumId w:val="9"/>
  </w:num>
  <w:num w:numId="5">
    <w:abstractNumId w:val="16"/>
  </w:num>
  <w:num w:numId="6">
    <w:abstractNumId w:val="17"/>
  </w:num>
  <w:num w:numId="7">
    <w:abstractNumId w:val="22"/>
  </w:num>
  <w:num w:numId="8">
    <w:abstractNumId w:val="1"/>
  </w:num>
  <w:num w:numId="9">
    <w:abstractNumId w:val="18"/>
  </w:num>
  <w:num w:numId="10">
    <w:abstractNumId w:val="6"/>
  </w:num>
  <w:num w:numId="11">
    <w:abstractNumId w:val="2"/>
  </w:num>
  <w:num w:numId="12">
    <w:abstractNumId w:val="24"/>
  </w:num>
  <w:num w:numId="13">
    <w:abstractNumId w:val="12"/>
  </w:num>
  <w:num w:numId="14">
    <w:abstractNumId w:val="26"/>
  </w:num>
  <w:num w:numId="15">
    <w:abstractNumId w:val="8"/>
  </w:num>
  <w:num w:numId="16">
    <w:abstractNumId w:val="3"/>
  </w:num>
  <w:num w:numId="17">
    <w:abstractNumId w:val="5"/>
  </w:num>
  <w:num w:numId="18">
    <w:abstractNumId w:val="10"/>
  </w:num>
  <w:num w:numId="19">
    <w:abstractNumId w:val="4"/>
  </w:num>
  <w:num w:numId="20">
    <w:abstractNumId w:val="27"/>
  </w:num>
  <w:num w:numId="21">
    <w:abstractNumId w:val="15"/>
  </w:num>
  <w:num w:numId="22">
    <w:abstractNumId w:val="0"/>
  </w:num>
  <w:num w:numId="23">
    <w:abstractNumId w:val="20"/>
  </w:num>
  <w:num w:numId="24">
    <w:abstractNumId w:val="25"/>
  </w:num>
  <w:num w:numId="25">
    <w:abstractNumId w:val="7"/>
  </w:num>
  <w:num w:numId="26">
    <w:abstractNumId w:val="11"/>
  </w:num>
  <w:num w:numId="27">
    <w:abstractNumId w:val="23"/>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73"/>
    <w:rsid w:val="0008501D"/>
    <w:rsid w:val="00182E4B"/>
    <w:rsid w:val="001F0635"/>
    <w:rsid w:val="002606EC"/>
    <w:rsid w:val="002952B9"/>
    <w:rsid w:val="002C407B"/>
    <w:rsid w:val="002E0468"/>
    <w:rsid w:val="00342783"/>
    <w:rsid w:val="00420719"/>
    <w:rsid w:val="00550598"/>
    <w:rsid w:val="00601563"/>
    <w:rsid w:val="00623897"/>
    <w:rsid w:val="006E5089"/>
    <w:rsid w:val="007342E2"/>
    <w:rsid w:val="007F4FCA"/>
    <w:rsid w:val="00886F46"/>
    <w:rsid w:val="00895C4D"/>
    <w:rsid w:val="00967AFC"/>
    <w:rsid w:val="009801B2"/>
    <w:rsid w:val="009B6113"/>
    <w:rsid w:val="00A347B3"/>
    <w:rsid w:val="00A73AD2"/>
    <w:rsid w:val="00A83197"/>
    <w:rsid w:val="00B80AF2"/>
    <w:rsid w:val="00BE168F"/>
    <w:rsid w:val="00BE5465"/>
    <w:rsid w:val="00BF6B10"/>
    <w:rsid w:val="00C04785"/>
    <w:rsid w:val="00CD199D"/>
    <w:rsid w:val="00D416AA"/>
    <w:rsid w:val="00D4544F"/>
    <w:rsid w:val="00D51144"/>
    <w:rsid w:val="00D57EF9"/>
    <w:rsid w:val="00D84CAC"/>
    <w:rsid w:val="00DA28FC"/>
    <w:rsid w:val="00DB3B2C"/>
    <w:rsid w:val="00E06DFD"/>
    <w:rsid w:val="00E35F7B"/>
    <w:rsid w:val="00EC4685"/>
    <w:rsid w:val="00EE2597"/>
    <w:rsid w:val="00F56DCF"/>
    <w:rsid w:val="00F87712"/>
    <w:rsid w:val="00FB0473"/>
    <w:rsid w:val="00FC3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5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73"/>
    <w:pPr>
      <w:spacing w:after="0" w:line="240" w:lineRule="auto"/>
    </w:pPr>
    <w:rPr>
      <w:rFonts w:eastAsia="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473"/>
    <w:pPr>
      <w:tabs>
        <w:tab w:val="center" w:pos="4513"/>
        <w:tab w:val="right" w:pos="9026"/>
      </w:tabs>
    </w:pPr>
  </w:style>
  <w:style w:type="character" w:customStyle="1" w:styleId="HeaderChar">
    <w:name w:val="Header Char"/>
    <w:basedOn w:val="DefaultParagraphFont"/>
    <w:link w:val="Header"/>
    <w:rsid w:val="00FB0473"/>
    <w:rPr>
      <w:rFonts w:eastAsia="Times New Roman" w:cs="Times New Roman"/>
      <w:szCs w:val="22"/>
      <w:lang w:val="en-US"/>
    </w:rPr>
  </w:style>
  <w:style w:type="paragraph" w:styleId="Footer">
    <w:name w:val="footer"/>
    <w:basedOn w:val="Normal"/>
    <w:link w:val="FooterChar"/>
    <w:uiPriority w:val="99"/>
    <w:rsid w:val="00FB0473"/>
    <w:pPr>
      <w:tabs>
        <w:tab w:val="center" w:pos="4513"/>
        <w:tab w:val="right" w:pos="9026"/>
      </w:tabs>
    </w:pPr>
  </w:style>
  <w:style w:type="character" w:customStyle="1" w:styleId="FooterChar">
    <w:name w:val="Footer Char"/>
    <w:basedOn w:val="DefaultParagraphFont"/>
    <w:link w:val="Footer"/>
    <w:uiPriority w:val="99"/>
    <w:rsid w:val="00FB0473"/>
    <w:rPr>
      <w:rFonts w:eastAsia="Times New Roman" w:cs="Times New Roman"/>
      <w:szCs w:val="22"/>
      <w:lang w:val="en-US"/>
    </w:rPr>
  </w:style>
  <w:style w:type="paragraph" w:styleId="BalloonText">
    <w:name w:val="Balloon Text"/>
    <w:basedOn w:val="Normal"/>
    <w:link w:val="BalloonTextChar"/>
    <w:uiPriority w:val="99"/>
    <w:semiHidden/>
    <w:unhideWhenUsed/>
    <w:rsid w:val="002952B9"/>
    <w:rPr>
      <w:rFonts w:ascii="Tahoma" w:hAnsi="Tahoma" w:cs="Tahoma"/>
      <w:sz w:val="16"/>
      <w:szCs w:val="16"/>
    </w:rPr>
  </w:style>
  <w:style w:type="character" w:customStyle="1" w:styleId="BalloonTextChar">
    <w:name w:val="Balloon Text Char"/>
    <w:basedOn w:val="DefaultParagraphFont"/>
    <w:link w:val="BalloonText"/>
    <w:uiPriority w:val="99"/>
    <w:semiHidden/>
    <w:rsid w:val="002952B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5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73"/>
    <w:pPr>
      <w:spacing w:after="0" w:line="240" w:lineRule="auto"/>
    </w:pPr>
    <w:rPr>
      <w:rFonts w:eastAsia="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0473"/>
    <w:pPr>
      <w:tabs>
        <w:tab w:val="center" w:pos="4513"/>
        <w:tab w:val="right" w:pos="9026"/>
      </w:tabs>
    </w:pPr>
  </w:style>
  <w:style w:type="character" w:customStyle="1" w:styleId="HeaderChar">
    <w:name w:val="Header Char"/>
    <w:basedOn w:val="DefaultParagraphFont"/>
    <w:link w:val="Header"/>
    <w:rsid w:val="00FB0473"/>
    <w:rPr>
      <w:rFonts w:eastAsia="Times New Roman" w:cs="Times New Roman"/>
      <w:szCs w:val="22"/>
      <w:lang w:val="en-US"/>
    </w:rPr>
  </w:style>
  <w:style w:type="paragraph" w:styleId="Footer">
    <w:name w:val="footer"/>
    <w:basedOn w:val="Normal"/>
    <w:link w:val="FooterChar"/>
    <w:uiPriority w:val="99"/>
    <w:rsid w:val="00FB0473"/>
    <w:pPr>
      <w:tabs>
        <w:tab w:val="center" w:pos="4513"/>
        <w:tab w:val="right" w:pos="9026"/>
      </w:tabs>
    </w:pPr>
  </w:style>
  <w:style w:type="character" w:customStyle="1" w:styleId="FooterChar">
    <w:name w:val="Footer Char"/>
    <w:basedOn w:val="DefaultParagraphFont"/>
    <w:link w:val="Footer"/>
    <w:uiPriority w:val="99"/>
    <w:rsid w:val="00FB0473"/>
    <w:rPr>
      <w:rFonts w:eastAsia="Times New Roman" w:cs="Times New Roman"/>
      <w:szCs w:val="22"/>
      <w:lang w:val="en-US"/>
    </w:rPr>
  </w:style>
  <w:style w:type="paragraph" w:styleId="BalloonText">
    <w:name w:val="Balloon Text"/>
    <w:basedOn w:val="Normal"/>
    <w:link w:val="BalloonTextChar"/>
    <w:uiPriority w:val="99"/>
    <w:semiHidden/>
    <w:unhideWhenUsed/>
    <w:rsid w:val="002952B9"/>
    <w:rPr>
      <w:rFonts w:ascii="Tahoma" w:hAnsi="Tahoma" w:cs="Tahoma"/>
      <w:sz w:val="16"/>
      <w:szCs w:val="16"/>
    </w:rPr>
  </w:style>
  <w:style w:type="character" w:customStyle="1" w:styleId="BalloonTextChar">
    <w:name w:val="Balloon Text Char"/>
    <w:basedOn w:val="DefaultParagraphFont"/>
    <w:link w:val="BalloonText"/>
    <w:uiPriority w:val="99"/>
    <w:semiHidden/>
    <w:rsid w:val="002952B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7735-055B-4FD6-9E48-E0A1F0F2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ACTF</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Parry</dc:creator>
  <cp:lastModifiedBy>Sarah Jones</cp:lastModifiedBy>
  <cp:revision>2</cp:revision>
  <dcterms:created xsi:type="dcterms:W3CDTF">2013-08-08T06:17:00Z</dcterms:created>
  <dcterms:modified xsi:type="dcterms:W3CDTF">2013-08-08T06:17:00Z</dcterms:modified>
</cp:coreProperties>
</file>